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1CF9" w14:textId="77777777" w:rsidR="001152A9" w:rsidRPr="002E2182" w:rsidRDefault="001152A9" w:rsidP="001152A9">
      <w:pPr>
        <w:spacing w:after="120"/>
        <w:jc w:val="center"/>
        <w:rPr>
          <w:b/>
        </w:rPr>
      </w:pPr>
      <w:r w:rsidRPr="002E2182">
        <w:rPr>
          <w:b/>
        </w:rPr>
        <w:t>Course Syllabus</w:t>
      </w:r>
    </w:p>
    <w:tbl>
      <w:tblPr>
        <w:tblW w:w="0" w:type="auto"/>
        <w:tblLook w:val="01E0" w:firstRow="1" w:lastRow="1" w:firstColumn="1" w:lastColumn="1" w:noHBand="0" w:noVBand="0"/>
      </w:tblPr>
      <w:tblGrid>
        <w:gridCol w:w="2340"/>
        <w:gridCol w:w="7884"/>
      </w:tblGrid>
      <w:tr w:rsidR="005B4B91" w:rsidRPr="001B3CFF" w14:paraId="12D18425" w14:textId="77777777" w:rsidTr="005B51EF">
        <w:trPr>
          <w:trHeight w:val="387"/>
        </w:trPr>
        <w:tc>
          <w:tcPr>
            <w:tcW w:w="2340" w:type="dxa"/>
          </w:tcPr>
          <w:p w14:paraId="7B3257F1" w14:textId="77777777" w:rsidR="001152A9" w:rsidRPr="001B3CFF" w:rsidRDefault="001152A9" w:rsidP="001152A9">
            <w:pPr>
              <w:rPr>
                <w:b/>
                <w:sz w:val="22"/>
              </w:rPr>
            </w:pPr>
            <w:r w:rsidRPr="001B3CFF">
              <w:rPr>
                <w:b/>
                <w:sz w:val="22"/>
              </w:rPr>
              <w:t>Course title:</w:t>
            </w:r>
          </w:p>
        </w:tc>
        <w:tc>
          <w:tcPr>
            <w:tcW w:w="7884" w:type="dxa"/>
          </w:tcPr>
          <w:p w14:paraId="5564B06F" w14:textId="3027211C" w:rsidR="001152A9" w:rsidRPr="001B3CFF" w:rsidRDefault="001152A9" w:rsidP="00340DE9">
            <w:pPr>
              <w:widowControl w:val="0"/>
              <w:spacing w:after="120"/>
              <w:ind w:right="132"/>
              <w:rPr>
                <w:b/>
                <w:sz w:val="22"/>
                <w:szCs w:val="22"/>
              </w:rPr>
            </w:pPr>
            <w:r w:rsidRPr="001B3CFF">
              <w:rPr>
                <w:b/>
                <w:sz w:val="22"/>
                <w:szCs w:val="22"/>
              </w:rPr>
              <w:t>HT</w:t>
            </w:r>
            <w:r w:rsidR="001B3CFF">
              <w:rPr>
                <w:b/>
                <w:sz w:val="22"/>
                <w:szCs w:val="22"/>
              </w:rPr>
              <w:t xml:space="preserve"> </w:t>
            </w:r>
            <w:r w:rsidR="00340DE9">
              <w:rPr>
                <w:b/>
                <w:sz w:val="22"/>
                <w:szCs w:val="22"/>
              </w:rPr>
              <w:t>402</w:t>
            </w:r>
            <w:r w:rsidRPr="001B3CFF">
              <w:rPr>
                <w:b/>
                <w:sz w:val="22"/>
                <w:szCs w:val="22"/>
              </w:rPr>
              <w:t xml:space="preserve"> Medieval </w:t>
            </w:r>
            <w:r w:rsidRPr="001B3CFF">
              <w:rPr>
                <w:b/>
                <w:bCs/>
                <w:sz w:val="22"/>
                <w:szCs w:val="22"/>
              </w:rPr>
              <w:t>Church</w:t>
            </w:r>
          </w:p>
        </w:tc>
      </w:tr>
      <w:tr w:rsidR="005B4B91" w:rsidRPr="001B3CFF" w14:paraId="0EC7694F" w14:textId="77777777" w:rsidTr="005B51EF">
        <w:tc>
          <w:tcPr>
            <w:tcW w:w="2340" w:type="dxa"/>
          </w:tcPr>
          <w:p w14:paraId="0AC72F8D" w14:textId="77777777" w:rsidR="001152A9" w:rsidRPr="001B3CFF" w:rsidRDefault="001152A9" w:rsidP="001152A9">
            <w:pPr>
              <w:rPr>
                <w:b/>
                <w:sz w:val="22"/>
              </w:rPr>
            </w:pPr>
            <w:r w:rsidRPr="001B3CFF">
              <w:rPr>
                <w:b/>
                <w:sz w:val="22"/>
              </w:rPr>
              <w:t>Course description:</w:t>
            </w:r>
          </w:p>
        </w:tc>
        <w:tc>
          <w:tcPr>
            <w:tcW w:w="7884" w:type="dxa"/>
          </w:tcPr>
          <w:p w14:paraId="1677D8DE" w14:textId="1AFD5C47" w:rsidR="001152A9" w:rsidRPr="005B51EF" w:rsidRDefault="006A47F6" w:rsidP="005B51EF">
            <w:pPr>
              <w:widowControl w:val="0"/>
              <w:spacing w:after="120"/>
              <w:ind w:right="132"/>
              <w:rPr>
                <w:bCs/>
                <w:sz w:val="22"/>
                <w:szCs w:val="22"/>
              </w:rPr>
            </w:pPr>
            <w:r w:rsidRPr="005B51EF">
              <w:rPr>
                <w:bCs/>
                <w:sz w:val="22"/>
                <w:szCs w:val="22"/>
              </w:rPr>
              <w:t xml:space="preserve">This course on the medieval church highlights not simply the chronological development of the medieval world of theology but also certain key figures and their piety (such as Anselm and Bernard of Clairvaux) as well as movements of dissent (such as the Waldensians and John Wycliffe and the Lollards). Lectures on Thomas Aquinas will be given by Scott </w:t>
            </w:r>
            <w:proofErr w:type="spellStart"/>
            <w:r w:rsidRPr="005B51EF">
              <w:rPr>
                <w:bCs/>
                <w:sz w:val="22"/>
                <w:szCs w:val="22"/>
              </w:rPr>
              <w:t>Oliphint</w:t>
            </w:r>
            <w:proofErr w:type="spellEnd"/>
            <w:r w:rsidRPr="005B51EF">
              <w:rPr>
                <w:bCs/>
                <w:sz w:val="22"/>
                <w:szCs w:val="22"/>
              </w:rPr>
              <w:t>. </w:t>
            </w:r>
          </w:p>
        </w:tc>
      </w:tr>
      <w:tr w:rsidR="005B51EF" w:rsidRPr="001B3CFF" w14:paraId="2DEAE9C6" w14:textId="77777777" w:rsidTr="005B51EF">
        <w:tc>
          <w:tcPr>
            <w:tcW w:w="2340" w:type="dxa"/>
          </w:tcPr>
          <w:p w14:paraId="131FB912" w14:textId="77777777" w:rsidR="005B51EF" w:rsidRPr="001B3CFF" w:rsidRDefault="005B51EF" w:rsidP="005B51EF">
            <w:pPr>
              <w:rPr>
                <w:b/>
                <w:sz w:val="22"/>
              </w:rPr>
            </w:pPr>
            <w:r w:rsidRPr="001B3CFF">
              <w:rPr>
                <w:b/>
                <w:sz w:val="22"/>
              </w:rPr>
              <w:t>Course instructor:</w:t>
            </w:r>
          </w:p>
        </w:tc>
        <w:tc>
          <w:tcPr>
            <w:tcW w:w="7884" w:type="dxa"/>
          </w:tcPr>
          <w:p w14:paraId="430B91F3" w14:textId="454E7F06" w:rsidR="005B51EF" w:rsidRPr="001B3CFF" w:rsidRDefault="005B51EF" w:rsidP="005B51EF">
            <w:pPr>
              <w:widowControl w:val="0"/>
              <w:spacing w:after="120"/>
              <w:ind w:right="132"/>
              <w:rPr>
                <w:sz w:val="22"/>
                <w:szCs w:val="22"/>
              </w:rPr>
            </w:pPr>
            <w:r w:rsidRPr="00872AD3">
              <w:rPr>
                <w:b/>
                <w:sz w:val="22"/>
                <w:szCs w:val="22"/>
              </w:rPr>
              <w:t xml:space="preserve">Dr. Michael A.G. </w:t>
            </w:r>
            <w:proofErr w:type="spellStart"/>
            <w:r w:rsidRPr="00872AD3">
              <w:rPr>
                <w:b/>
                <w:sz w:val="22"/>
                <w:szCs w:val="22"/>
              </w:rPr>
              <w:t>Haykin</w:t>
            </w:r>
            <w:proofErr w:type="spellEnd"/>
            <w:r w:rsidRPr="00872AD3">
              <w:rPr>
                <w:sz w:val="22"/>
                <w:szCs w:val="22"/>
              </w:rPr>
              <w:t xml:space="preserve"> was born in England of Irish and Kurdish parents. He serves as Professor of Church History &amp; Biblical Spirituality at the Southern Baptist Theological Seminary. Dr. </w:t>
            </w:r>
            <w:proofErr w:type="spellStart"/>
            <w:r w:rsidRPr="00872AD3">
              <w:rPr>
                <w:sz w:val="22"/>
                <w:szCs w:val="22"/>
              </w:rPr>
              <w:t>Haykin</w:t>
            </w:r>
            <w:proofErr w:type="spellEnd"/>
            <w:r w:rsidRPr="00872AD3">
              <w:rPr>
                <w:sz w:val="22"/>
                <w:szCs w:val="22"/>
              </w:rPr>
              <w:t xml:space="preserve"> has a B.A. in Philosophy from the University of Toronto (1974), a Master of Religion from Wycliffe College, the University of Toronto (1977), and a Th.D. in Church History from Wycliffe College and the University of Toronto (1982). Dr. </w:t>
            </w:r>
            <w:proofErr w:type="spellStart"/>
            <w:r w:rsidRPr="00872AD3">
              <w:rPr>
                <w:sz w:val="22"/>
                <w:szCs w:val="22"/>
              </w:rPr>
              <w:t>Haykin</w:t>
            </w:r>
            <w:proofErr w:type="spellEnd"/>
            <w:r w:rsidRPr="00872AD3">
              <w:rPr>
                <w:sz w:val="22"/>
                <w:szCs w:val="22"/>
              </w:rPr>
              <w:t xml:space="preserve"> and his wife Alison have two grown children, Victoria and Nigel.</w:t>
            </w:r>
          </w:p>
        </w:tc>
      </w:tr>
      <w:tr w:rsidR="005B51EF" w:rsidRPr="001B3CFF" w14:paraId="7EF78182" w14:textId="77777777" w:rsidTr="005B51EF">
        <w:tc>
          <w:tcPr>
            <w:tcW w:w="2340" w:type="dxa"/>
          </w:tcPr>
          <w:p w14:paraId="2E52115A" w14:textId="120E4803" w:rsidR="005B51EF" w:rsidRDefault="005B51EF" w:rsidP="005B51EF">
            <w:pPr>
              <w:rPr>
                <w:b/>
                <w:sz w:val="22"/>
              </w:rPr>
            </w:pPr>
            <w:r>
              <w:rPr>
                <w:b/>
                <w:sz w:val="22"/>
              </w:rPr>
              <w:t>Course instructor:</w:t>
            </w:r>
          </w:p>
        </w:tc>
        <w:tc>
          <w:tcPr>
            <w:tcW w:w="7884" w:type="dxa"/>
          </w:tcPr>
          <w:p w14:paraId="1D7079A5" w14:textId="10CFA3C9" w:rsidR="005B51EF" w:rsidRPr="00F365BC" w:rsidRDefault="005B51EF" w:rsidP="005B51EF">
            <w:pPr>
              <w:widowControl w:val="0"/>
              <w:spacing w:after="120"/>
              <w:ind w:right="132"/>
              <w:rPr>
                <w:b/>
                <w:sz w:val="22"/>
                <w:szCs w:val="22"/>
              </w:rPr>
            </w:pPr>
            <w:r w:rsidRPr="005B51EF">
              <w:rPr>
                <w:b/>
                <w:sz w:val="22"/>
                <w:szCs w:val="22"/>
              </w:rPr>
              <w:t>Robert Elliott</w:t>
            </w:r>
            <w:r w:rsidRPr="005B51EF">
              <w:rPr>
                <w:sz w:val="22"/>
                <w:szCs w:val="22"/>
              </w:rPr>
              <w:t xml:space="preserve"> served as an Assistant Pastor in downtown Glasgow, Scotland for three years before moving 50 miles south to take up the role of Teaching Pastor in a small village church in Ayrshire. In 1995 he was called to lead the newly constituted Reformed Baptist Church of Riverside, CA where he has been serving ever since. Robert completed studies at the Free Presbyterian Theological Hall and Whitefield College of the Bible. Later he earned the Master of Divinity (M.Div.) degree through Reformed Baptist Seminary where he also serves as a board member.</w:t>
            </w:r>
          </w:p>
        </w:tc>
      </w:tr>
      <w:tr w:rsidR="005B51EF" w:rsidRPr="001B3CFF" w14:paraId="1D2DFEA5" w14:textId="77777777" w:rsidTr="005B51EF">
        <w:tc>
          <w:tcPr>
            <w:tcW w:w="2340" w:type="dxa"/>
          </w:tcPr>
          <w:p w14:paraId="7BF22145" w14:textId="088EBE23" w:rsidR="005B51EF" w:rsidRPr="001B3CFF" w:rsidRDefault="005B51EF" w:rsidP="005B51EF">
            <w:pPr>
              <w:rPr>
                <w:b/>
                <w:sz w:val="22"/>
              </w:rPr>
            </w:pPr>
            <w:r>
              <w:rPr>
                <w:b/>
                <w:sz w:val="22"/>
              </w:rPr>
              <w:t xml:space="preserve">Course lecturer: </w:t>
            </w:r>
          </w:p>
        </w:tc>
        <w:tc>
          <w:tcPr>
            <w:tcW w:w="7884" w:type="dxa"/>
          </w:tcPr>
          <w:p w14:paraId="12F35C70" w14:textId="602F28DC" w:rsidR="005B51EF" w:rsidRPr="00F365BC" w:rsidRDefault="005B51EF" w:rsidP="005B51EF">
            <w:pPr>
              <w:widowControl w:val="0"/>
              <w:spacing w:after="120"/>
              <w:ind w:right="132"/>
              <w:rPr>
                <w:b/>
                <w:sz w:val="22"/>
                <w:szCs w:val="22"/>
              </w:rPr>
            </w:pPr>
            <w:r w:rsidRPr="00F365BC">
              <w:rPr>
                <w:b/>
                <w:sz w:val="22"/>
                <w:szCs w:val="22"/>
              </w:rPr>
              <w:t xml:space="preserve">K. Scott </w:t>
            </w:r>
            <w:proofErr w:type="spellStart"/>
            <w:r w:rsidRPr="00F365BC">
              <w:rPr>
                <w:b/>
                <w:sz w:val="22"/>
                <w:szCs w:val="22"/>
              </w:rPr>
              <w:t>Oliphint</w:t>
            </w:r>
            <w:proofErr w:type="spellEnd"/>
            <w:r w:rsidRPr="00F365BC">
              <w:rPr>
                <w:b/>
                <w:sz w:val="22"/>
                <w:szCs w:val="22"/>
              </w:rPr>
              <w:t xml:space="preserve"> </w:t>
            </w:r>
            <w:r w:rsidRPr="00F365BC">
              <w:rPr>
                <w:bCs/>
                <w:sz w:val="22"/>
                <w:szCs w:val="22"/>
              </w:rPr>
              <w:t xml:space="preserve">(PhD, Westminster Theological Seminary) is professor of apologetics and systematic theology at Westminster Theological Seminary in Philadelphia and has written numerous scholarly articles and books, including </w:t>
            </w:r>
            <w:r w:rsidRPr="00AC447B">
              <w:rPr>
                <w:bCs/>
                <w:i/>
                <w:iCs/>
                <w:sz w:val="22"/>
                <w:szCs w:val="22"/>
              </w:rPr>
              <w:t>Christianity and the Role of Philosophy</w:t>
            </w:r>
            <w:r>
              <w:rPr>
                <w:bCs/>
                <w:sz w:val="22"/>
                <w:szCs w:val="22"/>
              </w:rPr>
              <w:t xml:space="preserve"> </w:t>
            </w:r>
            <w:r w:rsidRPr="00F365BC">
              <w:rPr>
                <w:bCs/>
                <w:sz w:val="22"/>
                <w:szCs w:val="22"/>
              </w:rPr>
              <w:t>(Presbyterian and Reformed</w:t>
            </w:r>
            <w:r>
              <w:rPr>
                <w:bCs/>
                <w:sz w:val="22"/>
                <w:szCs w:val="22"/>
              </w:rPr>
              <w:t>),</w:t>
            </w:r>
            <w:r w:rsidRPr="00F365BC">
              <w:rPr>
                <w:bCs/>
                <w:sz w:val="22"/>
                <w:szCs w:val="22"/>
              </w:rPr>
              <w:t> </w:t>
            </w:r>
            <w:r w:rsidRPr="00AC447B">
              <w:rPr>
                <w:bCs/>
                <w:i/>
                <w:iCs/>
                <w:sz w:val="22"/>
                <w:szCs w:val="22"/>
              </w:rPr>
              <w:t>Should You Believe in God? </w:t>
            </w:r>
            <w:r w:rsidRPr="00F365BC">
              <w:rPr>
                <w:bCs/>
                <w:sz w:val="22"/>
                <w:szCs w:val="22"/>
              </w:rPr>
              <w:t>(Presbyterian</w:t>
            </w:r>
            <w:r>
              <w:rPr>
                <w:bCs/>
                <w:sz w:val="22"/>
                <w:szCs w:val="22"/>
              </w:rPr>
              <w:t xml:space="preserve"> and Reformed)</w:t>
            </w:r>
            <w:r w:rsidRPr="00F365BC">
              <w:rPr>
                <w:bCs/>
                <w:sz w:val="22"/>
                <w:szCs w:val="22"/>
              </w:rPr>
              <w:t>, </w:t>
            </w:r>
            <w:r w:rsidRPr="00AC447B">
              <w:rPr>
                <w:bCs/>
                <w:i/>
                <w:iCs/>
                <w:sz w:val="22"/>
                <w:szCs w:val="22"/>
              </w:rPr>
              <w:t>The Majesty of Mystery: Celebrating the Glory of an Incomprehensible God</w:t>
            </w:r>
            <w:r w:rsidRPr="00F365BC">
              <w:rPr>
                <w:bCs/>
                <w:sz w:val="22"/>
                <w:szCs w:val="22"/>
              </w:rPr>
              <w:t xml:space="preserve"> </w:t>
            </w:r>
            <w:r>
              <w:rPr>
                <w:bCs/>
                <w:sz w:val="22"/>
                <w:szCs w:val="22"/>
              </w:rPr>
              <w:t>(</w:t>
            </w:r>
            <w:proofErr w:type="spellStart"/>
            <w:r>
              <w:rPr>
                <w:bCs/>
                <w:sz w:val="22"/>
                <w:szCs w:val="22"/>
              </w:rPr>
              <w:t>Lexham</w:t>
            </w:r>
            <w:proofErr w:type="spellEnd"/>
            <w:r>
              <w:rPr>
                <w:bCs/>
                <w:sz w:val="22"/>
                <w:szCs w:val="22"/>
              </w:rPr>
              <w:t xml:space="preserve"> Press), </w:t>
            </w:r>
            <w:r w:rsidRPr="00AC447B">
              <w:rPr>
                <w:bCs/>
                <w:i/>
                <w:iCs/>
                <w:sz w:val="22"/>
                <w:szCs w:val="22"/>
              </w:rPr>
              <w:t>Know Why You Believe</w:t>
            </w:r>
            <w:r>
              <w:rPr>
                <w:bCs/>
                <w:sz w:val="22"/>
                <w:szCs w:val="22"/>
              </w:rPr>
              <w:t xml:space="preserve"> (Zondervan), forthcoming, </w:t>
            </w:r>
            <w:r w:rsidRPr="00F365BC">
              <w:rPr>
                <w:bCs/>
                <w:sz w:val="22"/>
                <w:szCs w:val="22"/>
              </w:rPr>
              <w:t>and </w:t>
            </w:r>
            <w:r w:rsidRPr="00AC447B">
              <w:rPr>
                <w:bCs/>
                <w:i/>
                <w:iCs/>
                <w:sz w:val="22"/>
                <w:szCs w:val="22"/>
              </w:rPr>
              <w:t>Covenantal Apologetics</w:t>
            </w:r>
            <w:r w:rsidRPr="00F365BC">
              <w:rPr>
                <w:bCs/>
                <w:sz w:val="22"/>
                <w:szCs w:val="22"/>
              </w:rPr>
              <w:t xml:space="preserve"> </w:t>
            </w:r>
            <w:r>
              <w:rPr>
                <w:bCs/>
                <w:sz w:val="22"/>
                <w:szCs w:val="22"/>
              </w:rPr>
              <w:t>(Crossway)</w:t>
            </w:r>
            <w:r w:rsidRPr="00F365BC">
              <w:rPr>
                <w:bCs/>
                <w:sz w:val="22"/>
                <w:szCs w:val="22"/>
              </w:rPr>
              <w:t>. He is also the coeditor of the two-volume </w:t>
            </w:r>
            <w:r w:rsidRPr="00AC447B">
              <w:rPr>
                <w:bCs/>
                <w:i/>
                <w:iCs/>
                <w:sz w:val="22"/>
                <w:szCs w:val="22"/>
              </w:rPr>
              <w:t>Christian Apologetics Past and Present: A Primary Source Reader</w:t>
            </w:r>
            <w:r w:rsidRPr="00F365BC">
              <w:rPr>
                <w:bCs/>
                <w:sz w:val="22"/>
                <w:szCs w:val="22"/>
              </w:rPr>
              <w:t xml:space="preserve"> </w:t>
            </w:r>
            <w:r>
              <w:rPr>
                <w:bCs/>
                <w:sz w:val="22"/>
                <w:szCs w:val="22"/>
              </w:rPr>
              <w:t>(Crossway),</w:t>
            </w:r>
            <w:r w:rsidRPr="00F365BC">
              <w:rPr>
                <w:bCs/>
                <w:sz w:val="22"/>
                <w:szCs w:val="22"/>
              </w:rPr>
              <w:t> and </w:t>
            </w:r>
            <w:r w:rsidRPr="00AC447B">
              <w:rPr>
                <w:bCs/>
                <w:i/>
                <w:iCs/>
                <w:sz w:val="22"/>
                <w:szCs w:val="22"/>
              </w:rPr>
              <w:t>Revelation and Reason: New Essays in Reformed Apologetics</w:t>
            </w:r>
            <w:r w:rsidRPr="00F365BC">
              <w:rPr>
                <w:bCs/>
                <w:sz w:val="22"/>
                <w:szCs w:val="22"/>
              </w:rPr>
              <w:t xml:space="preserve"> (Presby</w:t>
            </w:r>
            <w:r>
              <w:rPr>
                <w:bCs/>
                <w:sz w:val="22"/>
                <w:szCs w:val="22"/>
              </w:rPr>
              <w:t>terian and Reformed)</w:t>
            </w:r>
            <w:r w:rsidRPr="00F365BC">
              <w:rPr>
                <w:bCs/>
                <w:sz w:val="22"/>
                <w:szCs w:val="22"/>
              </w:rPr>
              <w:t>.</w:t>
            </w:r>
          </w:p>
        </w:tc>
      </w:tr>
      <w:tr w:rsidR="005B51EF" w:rsidRPr="001B3CFF" w14:paraId="0544DF28" w14:textId="77777777" w:rsidTr="005B51EF">
        <w:tc>
          <w:tcPr>
            <w:tcW w:w="2340" w:type="dxa"/>
          </w:tcPr>
          <w:p w14:paraId="0D08DA23" w14:textId="3D858F67" w:rsidR="005B51EF" w:rsidRPr="001B3CFF" w:rsidRDefault="005B51EF" w:rsidP="005B51EF">
            <w:pPr>
              <w:rPr>
                <w:b/>
                <w:sz w:val="22"/>
              </w:rPr>
            </w:pPr>
            <w:r>
              <w:rPr>
                <w:b/>
                <w:sz w:val="22"/>
              </w:rPr>
              <w:t xml:space="preserve">Course objectives: </w:t>
            </w:r>
          </w:p>
        </w:tc>
        <w:tc>
          <w:tcPr>
            <w:tcW w:w="7884" w:type="dxa"/>
          </w:tcPr>
          <w:p w14:paraId="27A52338" w14:textId="32CF24CA" w:rsidR="005B51EF" w:rsidRPr="001B3CFF" w:rsidRDefault="005B51EF" w:rsidP="005B51EF">
            <w:pPr>
              <w:widowControl w:val="0"/>
              <w:spacing w:after="120"/>
              <w:ind w:right="132"/>
              <w:rPr>
                <w:sz w:val="22"/>
                <w:szCs w:val="22"/>
              </w:rPr>
            </w:pPr>
            <w:r>
              <w:rPr>
                <w:sz w:val="22"/>
                <w:szCs w:val="22"/>
              </w:rPr>
              <w:t xml:space="preserve">To familiarize the student with the important individuals and doctrinal developments of the medieval church era. </w:t>
            </w:r>
          </w:p>
        </w:tc>
      </w:tr>
      <w:tr w:rsidR="005B51EF" w:rsidRPr="001B3CFF" w14:paraId="28A6AD51" w14:textId="77777777" w:rsidTr="005B51EF">
        <w:tc>
          <w:tcPr>
            <w:tcW w:w="2340" w:type="dxa"/>
          </w:tcPr>
          <w:p w14:paraId="28172A3F" w14:textId="77777777" w:rsidR="005B51EF" w:rsidRPr="001B3CFF" w:rsidRDefault="005B51EF" w:rsidP="005B51EF">
            <w:pPr>
              <w:rPr>
                <w:b/>
                <w:sz w:val="22"/>
              </w:rPr>
            </w:pPr>
            <w:r w:rsidRPr="001B3CFF">
              <w:rPr>
                <w:b/>
                <w:sz w:val="22"/>
              </w:rPr>
              <w:t>Course credit:</w:t>
            </w:r>
          </w:p>
        </w:tc>
        <w:tc>
          <w:tcPr>
            <w:tcW w:w="7884" w:type="dxa"/>
          </w:tcPr>
          <w:p w14:paraId="1BBC7A25" w14:textId="77777777" w:rsidR="005B51EF" w:rsidRPr="001B3CFF" w:rsidRDefault="005B51EF" w:rsidP="005B51EF">
            <w:pPr>
              <w:widowControl w:val="0"/>
              <w:spacing w:after="120"/>
              <w:ind w:right="132"/>
              <w:rPr>
                <w:sz w:val="22"/>
                <w:szCs w:val="22"/>
              </w:rPr>
            </w:pPr>
            <w:r w:rsidRPr="001B3CFF">
              <w:rPr>
                <w:sz w:val="22"/>
                <w:szCs w:val="22"/>
              </w:rPr>
              <w:t>3 credits</w:t>
            </w:r>
          </w:p>
        </w:tc>
      </w:tr>
      <w:tr w:rsidR="005B51EF" w:rsidRPr="001B3CFF" w14:paraId="1A51650B" w14:textId="77777777" w:rsidTr="005B51EF">
        <w:tc>
          <w:tcPr>
            <w:tcW w:w="2340" w:type="dxa"/>
          </w:tcPr>
          <w:p w14:paraId="1D53C808" w14:textId="77777777" w:rsidR="005B51EF" w:rsidRPr="001B3CFF" w:rsidRDefault="005B51EF" w:rsidP="005B51EF">
            <w:pPr>
              <w:rPr>
                <w:b/>
                <w:sz w:val="22"/>
              </w:rPr>
            </w:pPr>
            <w:r w:rsidRPr="001B3CFF">
              <w:rPr>
                <w:b/>
                <w:sz w:val="22"/>
              </w:rPr>
              <w:t>Course requirements:</w:t>
            </w:r>
          </w:p>
        </w:tc>
        <w:tc>
          <w:tcPr>
            <w:tcW w:w="7884" w:type="dxa"/>
          </w:tcPr>
          <w:p w14:paraId="322D98F3" w14:textId="77777777" w:rsidR="005B51EF" w:rsidRPr="001B3CFF" w:rsidRDefault="005B51EF" w:rsidP="005B51EF">
            <w:pPr>
              <w:widowControl w:val="0"/>
              <w:spacing w:after="120"/>
              <w:ind w:right="132"/>
              <w:rPr>
                <w:sz w:val="22"/>
                <w:szCs w:val="22"/>
              </w:rPr>
            </w:pPr>
            <w:r w:rsidRPr="001B3CFF">
              <w:rPr>
                <w:sz w:val="22"/>
                <w:szCs w:val="22"/>
              </w:rPr>
              <w:t>Student must satisfactorily complete the following course requirements:</w:t>
            </w:r>
          </w:p>
        </w:tc>
      </w:tr>
      <w:tr w:rsidR="005B51EF" w:rsidRPr="00772FA8" w14:paraId="3FA599BC" w14:textId="77777777" w:rsidTr="005B51EF">
        <w:tc>
          <w:tcPr>
            <w:tcW w:w="2340" w:type="dxa"/>
          </w:tcPr>
          <w:p w14:paraId="3F9E0467" w14:textId="77777777" w:rsidR="005B51EF" w:rsidRPr="001B3CFF" w:rsidRDefault="005B51EF" w:rsidP="005B51EF">
            <w:pPr>
              <w:ind w:left="374"/>
              <w:rPr>
                <w:b/>
                <w:i/>
                <w:sz w:val="22"/>
              </w:rPr>
            </w:pPr>
            <w:r w:rsidRPr="001B3CFF">
              <w:rPr>
                <w:b/>
                <w:i/>
                <w:sz w:val="22"/>
              </w:rPr>
              <w:t>(1) Lectures</w:t>
            </w:r>
          </w:p>
        </w:tc>
        <w:tc>
          <w:tcPr>
            <w:tcW w:w="7884" w:type="dxa"/>
          </w:tcPr>
          <w:p w14:paraId="2C1BC01B" w14:textId="50BBF20C" w:rsidR="005B51EF" w:rsidRPr="002E2182" w:rsidRDefault="005B51EF" w:rsidP="005B51EF">
            <w:pPr>
              <w:widowControl w:val="0"/>
              <w:spacing w:after="120"/>
              <w:ind w:right="132"/>
              <w:rPr>
                <w:sz w:val="22"/>
                <w:szCs w:val="22"/>
              </w:rPr>
            </w:pPr>
            <w:r w:rsidRPr="001B3CFF">
              <w:rPr>
                <w:sz w:val="22"/>
                <w:szCs w:val="22"/>
              </w:rPr>
              <w:t>T</w:t>
            </w:r>
            <w:r>
              <w:rPr>
                <w:sz w:val="22"/>
                <w:szCs w:val="22"/>
              </w:rPr>
              <w:t>he student mu</w:t>
            </w:r>
            <w:r w:rsidR="00BE183F">
              <w:rPr>
                <w:sz w:val="22"/>
                <w:szCs w:val="22"/>
              </w:rPr>
              <w:t xml:space="preserve">st listen to and/or watch all </w:t>
            </w:r>
            <w:r w:rsidR="00BE183F" w:rsidRPr="00BE183F">
              <w:rPr>
                <w:b/>
                <w:bCs/>
                <w:sz w:val="22"/>
                <w:szCs w:val="22"/>
              </w:rPr>
              <w:t>24</w:t>
            </w:r>
            <w:r w:rsidRPr="00BE183F">
              <w:rPr>
                <w:b/>
                <w:bCs/>
                <w:sz w:val="22"/>
                <w:szCs w:val="22"/>
              </w:rPr>
              <w:t xml:space="preserve"> audio/video lectures</w:t>
            </w:r>
            <w:r>
              <w:rPr>
                <w:sz w:val="22"/>
                <w:szCs w:val="22"/>
              </w:rPr>
              <w:t xml:space="preserve"> by </w:t>
            </w:r>
            <w:r w:rsidR="00555CA3">
              <w:rPr>
                <w:sz w:val="22"/>
                <w:szCs w:val="22"/>
              </w:rPr>
              <w:t xml:space="preserve">Michael </w:t>
            </w:r>
            <w:proofErr w:type="spellStart"/>
            <w:r w:rsidR="00555CA3">
              <w:rPr>
                <w:sz w:val="22"/>
                <w:szCs w:val="22"/>
              </w:rPr>
              <w:t>Haykin</w:t>
            </w:r>
            <w:proofErr w:type="spellEnd"/>
            <w:r w:rsidR="00555CA3">
              <w:rPr>
                <w:sz w:val="22"/>
                <w:szCs w:val="22"/>
              </w:rPr>
              <w:t>, Robert Elliott,</w:t>
            </w:r>
            <w:r>
              <w:rPr>
                <w:sz w:val="22"/>
                <w:szCs w:val="22"/>
              </w:rPr>
              <w:t xml:space="preserve"> and </w:t>
            </w:r>
            <w:r w:rsidR="00555CA3">
              <w:rPr>
                <w:sz w:val="22"/>
                <w:szCs w:val="22"/>
              </w:rPr>
              <w:t xml:space="preserve">Scott </w:t>
            </w:r>
            <w:proofErr w:type="spellStart"/>
            <w:r>
              <w:rPr>
                <w:sz w:val="22"/>
                <w:szCs w:val="22"/>
              </w:rPr>
              <w:t>Oliphint</w:t>
            </w:r>
            <w:proofErr w:type="spellEnd"/>
            <w:r w:rsidRPr="001B3CFF">
              <w:rPr>
                <w:sz w:val="22"/>
                <w:szCs w:val="22"/>
              </w:rPr>
              <w:t xml:space="preserve"> on the Medieval Church.</w:t>
            </w:r>
            <w:r>
              <w:rPr>
                <w:sz w:val="22"/>
                <w:szCs w:val="22"/>
              </w:rPr>
              <w:t xml:space="preserve"> These lectures will be posted in audio/video format on the online campus. </w:t>
            </w:r>
          </w:p>
        </w:tc>
      </w:tr>
      <w:tr w:rsidR="005B51EF" w:rsidRPr="001B3CFF" w14:paraId="04D99F2F" w14:textId="77777777" w:rsidTr="005B51EF">
        <w:tc>
          <w:tcPr>
            <w:tcW w:w="2340" w:type="dxa"/>
          </w:tcPr>
          <w:p w14:paraId="4F07978A" w14:textId="0212AD34" w:rsidR="005B51EF" w:rsidRPr="001B3CFF" w:rsidRDefault="005B51EF" w:rsidP="005B51EF">
            <w:pPr>
              <w:ind w:left="374"/>
              <w:rPr>
                <w:b/>
                <w:i/>
                <w:sz w:val="22"/>
              </w:rPr>
            </w:pPr>
            <w:r w:rsidRPr="001B3CFF">
              <w:rPr>
                <w:b/>
                <w:i/>
                <w:sz w:val="22"/>
              </w:rPr>
              <w:t>(2) Reading</w:t>
            </w:r>
          </w:p>
        </w:tc>
        <w:tc>
          <w:tcPr>
            <w:tcW w:w="7884" w:type="dxa"/>
          </w:tcPr>
          <w:p w14:paraId="4A495D65" w14:textId="369929B9" w:rsidR="0070535C" w:rsidRDefault="005B51EF" w:rsidP="0070535C">
            <w:pPr>
              <w:rPr>
                <w:sz w:val="22"/>
                <w:szCs w:val="22"/>
              </w:rPr>
            </w:pPr>
            <w:r w:rsidRPr="001B3CFF">
              <w:rPr>
                <w:sz w:val="22"/>
                <w:szCs w:val="22"/>
              </w:rPr>
              <w:t>The student must read completely the assigned reading</w:t>
            </w:r>
            <w:r>
              <w:rPr>
                <w:sz w:val="22"/>
                <w:szCs w:val="22"/>
              </w:rPr>
              <w:t xml:space="preserve"> in the following works</w:t>
            </w:r>
            <w:r w:rsidRPr="001B3CFF">
              <w:rPr>
                <w:sz w:val="22"/>
                <w:szCs w:val="22"/>
              </w:rPr>
              <w:t>:</w:t>
            </w:r>
          </w:p>
          <w:p w14:paraId="1A87019D" w14:textId="5D41A154" w:rsidR="0070535C" w:rsidRPr="0070535C" w:rsidRDefault="0070535C" w:rsidP="0070535C">
            <w:pPr>
              <w:spacing w:before="120"/>
              <w:ind w:left="640" w:hanging="374"/>
              <w:rPr>
                <w:color w:val="000000"/>
                <w:sz w:val="22"/>
                <w:szCs w:val="22"/>
              </w:rPr>
            </w:pPr>
            <w:r w:rsidRPr="0070535C">
              <w:rPr>
                <w:color w:val="000000"/>
                <w:sz w:val="22"/>
                <w:szCs w:val="22"/>
              </w:rPr>
              <w:t xml:space="preserve">Hamilton, Bernard. </w:t>
            </w:r>
            <w:r w:rsidRPr="00555CA3">
              <w:rPr>
                <w:i/>
                <w:iCs/>
                <w:color w:val="000000"/>
                <w:sz w:val="22"/>
                <w:szCs w:val="22"/>
              </w:rPr>
              <w:t>The Christian World of the Middle Ages</w:t>
            </w:r>
            <w:r w:rsidRPr="0070535C">
              <w:rPr>
                <w:color w:val="000000"/>
                <w:sz w:val="22"/>
                <w:szCs w:val="22"/>
              </w:rPr>
              <w:t>. The History Press, 2003. [approx. 250 pages]</w:t>
            </w:r>
          </w:p>
          <w:p w14:paraId="7C63FF29" w14:textId="77777777" w:rsidR="0070535C" w:rsidRDefault="0070535C" w:rsidP="005B51EF">
            <w:pPr>
              <w:rPr>
                <w:sz w:val="22"/>
                <w:szCs w:val="22"/>
              </w:rPr>
            </w:pPr>
          </w:p>
          <w:p w14:paraId="62845227" w14:textId="77777777" w:rsidR="0070535C" w:rsidRPr="0070535C" w:rsidRDefault="0070535C" w:rsidP="0070535C">
            <w:pPr>
              <w:ind w:left="266"/>
              <w:rPr>
                <w:sz w:val="22"/>
                <w:szCs w:val="22"/>
              </w:rPr>
            </w:pPr>
            <w:r w:rsidRPr="0070535C">
              <w:rPr>
                <w:sz w:val="22"/>
                <w:szCs w:val="22"/>
              </w:rPr>
              <w:lastRenderedPageBreak/>
              <w:t>Special reading for Thomas Aquinas:</w:t>
            </w:r>
          </w:p>
          <w:p w14:paraId="6FE8C7F0" w14:textId="77777777" w:rsidR="0070535C" w:rsidRPr="0070535C" w:rsidRDefault="0070535C" w:rsidP="0070535C">
            <w:pPr>
              <w:ind w:left="266"/>
              <w:rPr>
                <w:i/>
                <w:iCs/>
                <w:sz w:val="22"/>
                <w:szCs w:val="22"/>
              </w:rPr>
            </w:pPr>
          </w:p>
          <w:p w14:paraId="76EDA099" w14:textId="09507D6F" w:rsidR="005B51EF" w:rsidRPr="0070535C" w:rsidRDefault="005B51EF" w:rsidP="0070535C">
            <w:pPr>
              <w:ind w:left="266"/>
              <w:rPr>
                <w:i/>
                <w:iCs/>
                <w:sz w:val="22"/>
                <w:szCs w:val="22"/>
              </w:rPr>
            </w:pPr>
            <w:r w:rsidRPr="0070535C">
              <w:rPr>
                <w:i/>
                <w:iCs/>
                <w:sz w:val="22"/>
                <w:szCs w:val="22"/>
              </w:rPr>
              <w:t>Primary Sources:</w:t>
            </w:r>
          </w:p>
          <w:p w14:paraId="174272F7" w14:textId="30C8D310" w:rsidR="005B51EF" w:rsidRPr="007B04E2" w:rsidRDefault="005B51EF" w:rsidP="005B51EF">
            <w:pPr>
              <w:spacing w:before="120"/>
              <w:ind w:left="640" w:hanging="374"/>
              <w:rPr>
                <w:color w:val="000000"/>
                <w:sz w:val="22"/>
                <w:szCs w:val="22"/>
                <w:lang w:val="fr-FR"/>
              </w:rPr>
            </w:pPr>
            <w:r>
              <w:rPr>
                <w:color w:val="000000"/>
                <w:sz w:val="22"/>
                <w:szCs w:val="22"/>
              </w:rPr>
              <w:t xml:space="preserve">Thomas Aquinas, </w:t>
            </w:r>
            <w:r w:rsidRPr="002E2182">
              <w:rPr>
                <w:i/>
                <w:iCs/>
                <w:color w:val="000000"/>
                <w:sz w:val="22"/>
                <w:szCs w:val="22"/>
              </w:rPr>
              <w:t>Summa Theologica</w:t>
            </w:r>
            <w:r>
              <w:rPr>
                <w:color w:val="000000"/>
                <w:sz w:val="22"/>
                <w:szCs w:val="22"/>
              </w:rPr>
              <w:t xml:space="preserve">, Book 1, Q1 (“The Nature and Extent of Sacred Knowledge”) thru Book 1, Q9 (“The Immutability of God”). </w:t>
            </w:r>
            <w:r w:rsidRPr="007B04E2">
              <w:rPr>
                <w:color w:val="000000"/>
                <w:sz w:val="22"/>
                <w:szCs w:val="22"/>
                <w:lang w:val="fr-FR"/>
              </w:rPr>
              <w:t>[</w:t>
            </w:r>
            <w:proofErr w:type="spellStart"/>
            <w:r w:rsidRPr="007B04E2">
              <w:rPr>
                <w:color w:val="000000"/>
                <w:sz w:val="22"/>
                <w:szCs w:val="22"/>
                <w:lang w:val="fr-FR"/>
              </w:rPr>
              <w:t>approx</w:t>
            </w:r>
            <w:proofErr w:type="spellEnd"/>
            <w:r w:rsidRPr="007B04E2">
              <w:rPr>
                <w:color w:val="000000"/>
                <w:sz w:val="22"/>
                <w:szCs w:val="22"/>
                <w:lang w:val="fr-FR"/>
              </w:rPr>
              <w:t>. 65 pages]</w:t>
            </w:r>
          </w:p>
          <w:p w14:paraId="79534DE4" w14:textId="7460285E" w:rsidR="005B51EF" w:rsidRPr="007B04E2" w:rsidRDefault="005B51EF" w:rsidP="005B51EF">
            <w:pPr>
              <w:spacing w:before="120"/>
              <w:ind w:left="640" w:hanging="374"/>
              <w:rPr>
                <w:color w:val="000000"/>
                <w:sz w:val="22"/>
                <w:szCs w:val="22"/>
                <w:lang w:val="fr-FR"/>
              </w:rPr>
            </w:pPr>
            <w:r w:rsidRPr="007B04E2">
              <w:rPr>
                <w:color w:val="000000"/>
                <w:sz w:val="22"/>
                <w:szCs w:val="22"/>
                <w:lang w:val="fr-FR"/>
              </w:rPr>
              <w:t xml:space="preserve">Internet version: </w:t>
            </w:r>
            <w:hyperlink r:id="rId7" w:history="1">
              <w:r w:rsidRPr="007B04E2">
                <w:rPr>
                  <w:rStyle w:val="Hyperlink"/>
                  <w:sz w:val="22"/>
                  <w:szCs w:val="22"/>
                  <w:lang w:val="fr-FR"/>
                </w:rPr>
                <w:t>http://www.ccel.org/ccel/aquinas/summa.pdf</w:t>
              </w:r>
            </w:hyperlink>
            <w:r w:rsidRPr="007B04E2">
              <w:rPr>
                <w:color w:val="000000"/>
                <w:sz w:val="22"/>
                <w:szCs w:val="22"/>
                <w:lang w:val="fr-FR"/>
              </w:rPr>
              <w:t xml:space="preserve"> </w:t>
            </w:r>
          </w:p>
          <w:p w14:paraId="0BE018A5" w14:textId="7CA012CB" w:rsidR="005B51EF" w:rsidRDefault="005B51EF" w:rsidP="005B51EF">
            <w:pPr>
              <w:spacing w:before="120"/>
              <w:ind w:left="640" w:hanging="374"/>
              <w:rPr>
                <w:color w:val="000000"/>
                <w:sz w:val="22"/>
                <w:szCs w:val="22"/>
              </w:rPr>
            </w:pPr>
            <w:r>
              <w:rPr>
                <w:color w:val="000000"/>
                <w:sz w:val="22"/>
                <w:szCs w:val="22"/>
              </w:rPr>
              <w:t xml:space="preserve">Thomas Aquinas, “On Being and Essence.” In Selected Writings of Thomas Aquinas. New York: </w:t>
            </w:r>
            <w:proofErr w:type="spellStart"/>
            <w:r>
              <w:rPr>
                <w:color w:val="000000"/>
                <w:sz w:val="22"/>
                <w:szCs w:val="22"/>
              </w:rPr>
              <w:t>Bobbs</w:t>
            </w:r>
            <w:proofErr w:type="spellEnd"/>
            <w:r>
              <w:rPr>
                <w:color w:val="000000"/>
                <w:sz w:val="22"/>
                <w:szCs w:val="22"/>
              </w:rPr>
              <w:t>, 1965. [15 pages]</w:t>
            </w:r>
          </w:p>
          <w:p w14:paraId="6D4F5850" w14:textId="34BF12B3" w:rsidR="005B51EF" w:rsidRDefault="005B51EF" w:rsidP="005B51EF">
            <w:pPr>
              <w:spacing w:before="120"/>
              <w:ind w:left="640" w:hanging="374"/>
              <w:rPr>
                <w:color w:val="000000"/>
                <w:sz w:val="22"/>
                <w:szCs w:val="22"/>
              </w:rPr>
            </w:pPr>
            <w:r>
              <w:rPr>
                <w:color w:val="000000"/>
                <w:sz w:val="22"/>
                <w:szCs w:val="22"/>
              </w:rPr>
              <w:t xml:space="preserve">Internet version: </w:t>
            </w:r>
            <w:hyperlink r:id="rId8" w:history="1">
              <w:r w:rsidRPr="00B07831">
                <w:rPr>
                  <w:rStyle w:val="Hyperlink"/>
                  <w:sz w:val="22"/>
                  <w:szCs w:val="22"/>
                </w:rPr>
                <w:t>http://faculty.fordham.edu/klima/Blackwell-proofs/MP_C30.pdf</w:t>
              </w:r>
            </w:hyperlink>
            <w:r>
              <w:rPr>
                <w:color w:val="000000"/>
                <w:sz w:val="22"/>
                <w:szCs w:val="22"/>
              </w:rPr>
              <w:t xml:space="preserve"> </w:t>
            </w:r>
          </w:p>
          <w:p w14:paraId="1D51A5D5" w14:textId="504B405E" w:rsidR="0070535C" w:rsidRPr="0070535C" w:rsidRDefault="005B51EF" w:rsidP="0070535C">
            <w:pPr>
              <w:spacing w:before="120"/>
              <w:ind w:left="266"/>
              <w:rPr>
                <w:i/>
                <w:iCs/>
                <w:color w:val="000000"/>
                <w:sz w:val="22"/>
                <w:szCs w:val="22"/>
              </w:rPr>
            </w:pPr>
            <w:r w:rsidRPr="0070535C">
              <w:rPr>
                <w:i/>
                <w:iCs/>
                <w:color w:val="000000"/>
                <w:sz w:val="22"/>
                <w:szCs w:val="22"/>
              </w:rPr>
              <w:t>Secondary Sources:</w:t>
            </w:r>
          </w:p>
          <w:p w14:paraId="5806BF93" w14:textId="752EBE91" w:rsidR="005B51EF" w:rsidRPr="003C5B64" w:rsidRDefault="005B51EF" w:rsidP="005B51EF">
            <w:pPr>
              <w:spacing w:before="120"/>
              <w:ind w:left="640" w:hanging="374"/>
              <w:rPr>
                <w:color w:val="000000"/>
                <w:sz w:val="22"/>
                <w:szCs w:val="22"/>
              </w:rPr>
            </w:pPr>
            <w:r w:rsidRPr="003C5B64">
              <w:rPr>
                <w:color w:val="000000"/>
                <w:sz w:val="22"/>
                <w:szCs w:val="22"/>
              </w:rPr>
              <w:t xml:space="preserve">Davies, Brian, and Eleonore Stump. </w:t>
            </w:r>
            <w:r w:rsidRPr="003C5B64">
              <w:rPr>
                <w:i/>
                <w:iCs/>
                <w:color w:val="000000"/>
                <w:sz w:val="22"/>
                <w:szCs w:val="22"/>
              </w:rPr>
              <w:t>The Oxford Handbook of Aquinas</w:t>
            </w:r>
            <w:r w:rsidRPr="003C5B64">
              <w:rPr>
                <w:color w:val="000000"/>
                <w:sz w:val="22"/>
                <w:szCs w:val="22"/>
              </w:rPr>
              <w:t>. Oxfor</w:t>
            </w:r>
            <w:r>
              <w:rPr>
                <w:color w:val="000000"/>
                <w:sz w:val="22"/>
                <w:szCs w:val="22"/>
              </w:rPr>
              <w:t xml:space="preserve">d University Press, 2012. </w:t>
            </w:r>
            <w:r w:rsidRPr="003C5B64">
              <w:rPr>
                <w:b/>
                <w:bCs/>
                <w:color w:val="000000"/>
                <w:sz w:val="22"/>
                <w:szCs w:val="22"/>
              </w:rPr>
              <w:t>Read chapters, 2-4, 6, 9, 13</w:t>
            </w:r>
            <w:r w:rsidRPr="003C5B64">
              <w:rPr>
                <w:color w:val="000000"/>
                <w:sz w:val="22"/>
                <w:szCs w:val="22"/>
              </w:rPr>
              <w:t>. [</w:t>
            </w:r>
            <w:r>
              <w:rPr>
                <w:color w:val="000000"/>
                <w:sz w:val="22"/>
                <w:szCs w:val="22"/>
              </w:rPr>
              <w:t xml:space="preserve">approx. </w:t>
            </w:r>
            <w:r w:rsidRPr="003C5B64">
              <w:rPr>
                <w:color w:val="000000"/>
                <w:sz w:val="22"/>
                <w:szCs w:val="22"/>
              </w:rPr>
              <w:t xml:space="preserve">70 pages] </w:t>
            </w:r>
          </w:p>
          <w:p w14:paraId="0B679516" w14:textId="215E232D" w:rsidR="005B51EF" w:rsidRPr="003C5B64" w:rsidRDefault="005B51EF" w:rsidP="005B51EF">
            <w:pPr>
              <w:spacing w:before="120"/>
              <w:ind w:left="640" w:hanging="374"/>
              <w:rPr>
                <w:color w:val="000000"/>
                <w:sz w:val="22"/>
                <w:szCs w:val="22"/>
              </w:rPr>
            </w:pPr>
            <w:proofErr w:type="spellStart"/>
            <w:r w:rsidRPr="003C5B64">
              <w:rPr>
                <w:color w:val="000000"/>
                <w:sz w:val="22"/>
                <w:szCs w:val="22"/>
              </w:rPr>
              <w:t>Oliphint</w:t>
            </w:r>
            <w:proofErr w:type="spellEnd"/>
            <w:r w:rsidRPr="003C5B64">
              <w:rPr>
                <w:color w:val="000000"/>
                <w:sz w:val="22"/>
                <w:szCs w:val="22"/>
              </w:rPr>
              <w:t xml:space="preserve">, K. Scott. “The Irrationality of Unbelief.” In </w:t>
            </w:r>
            <w:r w:rsidRPr="003C5B64">
              <w:rPr>
                <w:i/>
                <w:iCs/>
                <w:color w:val="000000"/>
                <w:sz w:val="22"/>
                <w:szCs w:val="22"/>
              </w:rPr>
              <w:t>Revelation and Reason: New Essays in Reformed Apologetics</w:t>
            </w:r>
            <w:r w:rsidRPr="003C5B64">
              <w:rPr>
                <w:color w:val="000000"/>
                <w:sz w:val="22"/>
                <w:szCs w:val="22"/>
              </w:rPr>
              <w:t xml:space="preserve">, ed. </w:t>
            </w:r>
            <w:proofErr w:type="spellStart"/>
            <w:r w:rsidRPr="003C5B64">
              <w:rPr>
                <w:color w:val="000000"/>
                <w:sz w:val="22"/>
                <w:szCs w:val="22"/>
              </w:rPr>
              <w:t>Oliphint</w:t>
            </w:r>
            <w:proofErr w:type="spellEnd"/>
            <w:r w:rsidRPr="003C5B64">
              <w:rPr>
                <w:color w:val="000000"/>
                <w:sz w:val="22"/>
                <w:szCs w:val="22"/>
              </w:rPr>
              <w:t>, K. Scott, and Lane G. Tipton, 59-73. Phillipsburg, New Jersey: Presbyterian and Reformed Publishing Co., 2007. [12 pages]</w:t>
            </w:r>
          </w:p>
          <w:p w14:paraId="65D027C7" w14:textId="35947E8F" w:rsidR="005B51EF" w:rsidRPr="003C5B64" w:rsidRDefault="005B51EF" w:rsidP="005B51EF">
            <w:pPr>
              <w:spacing w:before="120"/>
              <w:ind w:left="266"/>
              <w:rPr>
                <w:color w:val="000000"/>
                <w:sz w:val="22"/>
                <w:szCs w:val="22"/>
              </w:rPr>
            </w:pPr>
            <w:r>
              <w:rPr>
                <w:color w:val="000000"/>
                <w:sz w:val="22"/>
                <w:szCs w:val="22"/>
              </w:rPr>
              <w:t>________</w:t>
            </w:r>
            <w:r w:rsidRPr="003C5B64">
              <w:rPr>
                <w:color w:val="000000"/>
                <w:sz w:val="22"/>
                <w:szCs w:val="22"/>
              </w:rPr>
              <w:t>. “Bavinck's Realism, the Logos Principle and Sola Scriptura.” Westminster Theological Journal 72, no. 2 (2010): 359-390. [31 Pages]</w:t>
            </w:r>
          </w:p>
          <w:p w14:paraId="2E2892B2" w14:textId="4C913155" w:rsidR="005B51EF" w:rsidRPr="003C5B64" w:rsidRDefault="005B51EF" w:rsidP="005B51EF">
            <w:pPr>
              <w:spacing w:before="120"/>
              <w:ind w:left="640" w:hanging="374"/>
              <w:rPr>
                <w:color w:val="000000"/>
                <w:sz w:val="22"/>
                <w:szCs w:val="22"/>
              </w:rPr>
            </w:pPr>
            <w:r>
              <w:rPr>
                <w:color w:val="000000"/>
                <w:sz w:val="22"/>
                <w:szCs w:val="22"/>
              </w:rPr>
              <w:t>________. “Aquinas: A Shaky Foundation.”</w:t>
            </w:r>
            <w:r w:rsidRPr="003C5B64">
              <w:rPr>
                <w:color w:val="000000"/>
                <w:sz w:val="22"/>
                <w:szCs w:val="22"/>
              </w:rPr>
              <w:t xml:space="preserve"> The Gospel Coalition Blog, Nov 7, 2012: </w:t>
            </w:r>
            <w:hyperlink r:id="rId9" w:history="1">
              <w:r w:rsidRPr="003C5B64">
                <w:rPr>
                  <w:color w:val="000000"/>
                  <w:sz w:val="22"/>
                  <w:szCs w:val="22"/>
                </w:rPr>
                <w:t>https://www.thegospelcoalition.org/article/aquinas-a-shaky-foundation</w:t>
              </w:r>
            </w:hyperlink>
            <w:r>
              <w:rPr>
                <w:color w:val="000000"/>
                <w:sz w:val="22"/>
                <w:szCs w:val="22"/>
              </w:rPr>
              <w:t xml:space="preserve"> [2 pages]</w:t>
            </w:r>
          </w:p>
          <w:p w14:paraId="00818BB7" w14:textId="01997225" w:rsidR="005B51EF" w:rsidRPr="001B3CFF" w:rsidRDefault="005B51EF" w:rsidP="005B51EF">
            <w:pPr>
              <w:spacing w:before="120" w:after="120"/>
              <w:rPr>
                <w:color w:val="000000"/>
                <w:sz w:val="22"/>
                <w:szCs w:val="22"/>
              </w:rPr>
            </w:pPr>
            <w:r>
              <w:rPr>
                <w:color w:val="000000"/>
                <w:sz w:val="22"/>
                <w:szCs w:val="22"/>
              </w:rPr>
              <w:t xml:space="preserve">Any substitutes for the reading above must be approved by the course instructors and/or the seminary dean. </w:t>
            </w:r>
          </w:p>
        </w:tc>
      </w:tr>
      <w:tr w:rsidR="005B51EF" w:rsidRPr="001B3CFF" w14:paraId="2249BB90" w14:textId="77777777" w:rsidTr="005B51EF">
        <w:tc>
          <w:tcPr>
            <w:tcW w:w="2340" w:type="dxa"/>
          </w:tcPr>
          <w:p w14:paraId="2BBC8E4A" w14:textId="33D326E7" w:rsidR="005B51EF" w:rsidRPr="001B3CFF" w:rsidRDefault="005B51EF" w:rsidP="005B51EF">
            <w:pPr>
              <w:ind w:left="374"/>
              <w:rPr>
                <w:b/>
                <w:i/>
                <w:sz w:val="22"/>
              </w:rPr>
            </w:pPr>
            <w:r w:rsidRPr="001B3CFF">
              <w:rPr>
                <w:b/>
                <w:i/>
                <w:sz w:val="22"/>
              </w:rPr>
              <w:lastRenderedPageBreak/>
              <w:t xml:space="preserve">(3) </w:t>
            </w:r>
            <w:r w:rsidR="0070535C">
              <w:rPr>
                <w:b/>
                <w:i/>
                <w:sz w:val="22"/>
              </w:rPr>
              <w:t>Re</w:t>
            </w:r>
            <w:r w:rsidR="001A3D8C">
              <w:rPr>
                <w:b/>
                <w:i/>
                <w:sz w:val="22"/>
              </w:rPr>
              <w:t>view Essay</w:t>
            </w:r>
          </w:p>
        </w:tc>
        <w:tc>
          <w:tcPr>
            <w:tcW w:w="7884" w:type="dxa"/>
          </w:tcPr>
          <w:p w14:paraId="787B8981" w14:textId="35BDFEE2" w:rsidR="001A3D8C" w:rsidRDefault="001A3D8C" w:rsidP="001A3D8C">
            <w:pPr>
              <w:widowControl w:val="0"/>
              <w:spacing w:after="120"/>
              <w:ind w:right="132"/>
              <w:rPr>
                <w:sz w:val="22"/>
                <w:szCs w:val="22"/>
              </w:rPr>
            </w:pPr>
            <w:r w:rsidRPr="001A3D8C">
              <w:rPr>
                <w:sz w:val="22"/>
                <w:szCs w:val="22"/>
              </w:rPr>
              <w:t>The one assignment for Prof</w:t>
            </w:r>
            <w:r>
              <w:rPr>
                <w:sz w:val="22"/>
                <w:szCs w:val="22"/>
              </w:rPr>
              <w:t>essor</w:t>
            </w:r>
            <w:r w:rsidRPr="001A3D8C">
              <w:rPr>
                <w:sz w:val="22"/>
                <w:szCs w:val="22"/>
              </w:rPr>
              <w:t xml:space="preserve"> </w:t>
            </w:r>
            <w:proofErr w:type="spellStart"/>
            <w:r w:rsidRPr="001A3D8C">
              <w:rPr>
                <w:sz w:val="22"/>
                <w:szCs w:val="22"/>
              </w:rPr>
              <w:t>Haykin’s</w:t>
            </w:r>
            <w:proofErr w:type="spellEnd"/>
            <w:r w:rsidRPr="001A3D8C">
              <w:rPr>
                <w:sz w:val="22"/>
                <w:szCs w:val="22"/>
              </w:rPr>
              <w:t xml:space="preserve"> lectures is a book review essay</w:t>
            </w:r>
            <w:r w:rsidR="003F405C">
              <w:rPr>
                <w:sz w:val="22"/>
                <w:szCs w:val="22"/>
              </w:rPr>
              <w:t xml:space="preserve"> </w:t>
            </w:r>
            <w:bookmarkStart w:id="0" w:name="_GoBack"/>
            <w:bookmarkEnd w:id="0"/>
            <w:r w:rsidRPr="001A3D8C">
              <w:rPr>
                <w:sz w:val="22"/>
                <w:szCs w:val="22"/>
              </w:rPr>
              <w:t xml:space="preserve">based on Bernard Hamilton, </w:t>
            </w:r>
            <w:r w:rsidRPr="001A3D8C">
              <w:rPr>
                <w:i/>
                <w:iCs/>
                <w:sz w:val="22"/>
                <w:szCs w:val="22"/>
              </w:rPr>
              <w:t>The Christian World of the Middle Ages</w:t>
            </w:r>
            <w:r w:rsidRPr="001A3D8C">
              <w:rPr>
                <w:sz w:val="22"/>
                <w:szCs w:val="22"/>
              </w:rPr>
              <w:t xml:space="preserve"> (</w:t>
            </w:r>
            <w:proofErr w:type="spellStart"/>
            <w:r w:rsidRPr="001A3D8C">
              <w:rPr>
                <w:sz w:val="22"/>
                <w:szCs w:val="22"/>
              </w:rPr>
              <w:t>Thrupp</w:t>
            </w:r>
            <w:proofErr w:type="spellEnd"/>
            <w:r w:rsidRPr="001A3D8C">
              <w:rPr>
                <w:sz w:val="22"/>
                <w:szCs w:val="22"/>
              </w:rPr>
              <w:t xml:space="preserve">, Stroud, Gloucestershire:  Sutton Publishing, 2003). </w:t>
            </w:r>
          </w:p>
          <w:p w14:paraId="1000CDA0" w14:textId="77777777" w:rsidR="001A3D8C" w:rsidRDefault="001A3D8C" w:rsidP="001A3D8C">
            <w:pPr>
              <w:widowControl w:val="0"/>
              <w:spacing w:after="120"/>
              <w:ind w:right="132"/>
              <w:rPr>
                <w:sz w:val="22"/>
                <w:szCs w:val="22"/>
              </w:rPr>
            </w:pPr>
            <w:r w:rsidRPr="001A3D8C">
              <w:rPr>
                <w:sz w:val="22"/>
                <w:szCs w:val="22"/>
              </w:rPr>
              <w:t xml:space="preserve">The book review is to be around 3,500 words. The review should include a summary of the book (about 2,500 words) as well as a critical evaluation of the book’s achievement of its goals (about 1,000 words). The student must also consult at least four published book reviews of Hamilton, The Christian World of the Middle Ages. References to these book reviews needs to be made by way of footnotes. </w:t>
            </w:r>
          </w:p>
          <w:p w14:paraId="7E29BD22" w14:textId="5B8EEC3E" w:rsidR="001A3D8C" w:rsidRPr="001A3D8C" w:rsidRDefault="001A3D8C" w:rsidP="001A3D8C">
            <w:pPr>
              <w:widowControl w:val="0"/>
              <w:spacing w:after="120"/>
              <w:ind w:right="132"/>
              <w:rPr>
                <w:sz w:val="22"/>
                <w:szCs w:val="22"/>
              </w:rPr>
            </w:pPr>
            <w:r w:rsidRPr="001A3D8C">
              <w:rPr>
                <w:sz w:val="22"/>
                <w:szCs w:val="22"/>
              </w:rPr>
              <w:t xml:space="preserve">In addition to the body of the book review, this essay should include a title-page (with the title of the paper, name of the course and the student’s name), and full documentation (in footnote form, not endnotes), and bibliography. Marks will be deducted for numerous stylistic, grammar, and spelling errors. It is assumed the papers will be submitted on the date indicated. Papers submitted late without advance permission will receive at best a grade of D. Extensions will be granted in the case of such things as family or personal illness. </w:t>
            </w:r>
            <w:r w:rsidRPr="001A3D8C">
              <w:rPr>
                <w:b/>
                <w:bCs/>
                <w:i/>
                <w:iCs/>
                <w:sz w:val="22"/>
                <w:szCs w:val="22"/>
              </w:rPr>
              <w:t>This review essay should be completed and submitted at least three weeks before the semester concludes</w:t>
            </w:r>
            <w:r w:rsidRPr="001A3D8C">
              <w:rPr>
                <w:i/>
                <w:iCs/>
                <w:sz w:val="22"/>
                <w:szCs w:val="22"/>
              </w:rPr>
              <w:t xml:space="preserve">. </w:t>
            </w:r>
          </w:p>
        </w:tc>
      </w:tr>
      <w:tr w:rsidR="005B51EF" w:rsidRPr="001A3D8C" w14:paraId="374C4D0C" w14:textId="77777777" w:rsidTr="005B51EF">
        <w:tc>
          <w:tcPr>
            <w:tcW w:w="2340" w:type="dxa"/>
          </w:tcPr>
          <w:p w14:paraId="01AD40AF" w14:textId="1BD0A6BD" w:rsidR="005B51EF" w:rsidRPr="001A3D8C" w:rsidRDefault="005B51EF" w:rsidP="005B51EF">
            <w:pPr>
              <w:ind w:left="374"/>
              <w:rPr>
                <w:b/>
                <w:i/>
                <w:sz w:val="22"/>
                <w:szCs w:val="22"/>
              </w:rPr>
            </w:pPr>
            <w:r w:rsidRPr="001A3D8C">
              <w:rPr>
                <w:b/>
                <w:i/>
                <w:sz w:val="22"/>
                <w:szCs w:val="22"/>
              </w:rPr>
              <w:lastRenderedPageBreak/>
              <w:t xml:space="preserve">(4) </w:t>
            </w:r>
            <w:r w:rsidR="00555CA3" w:rsidRPr="001A3D8C">
              <w:rPr>
                <w:b/>
                <w:i/>
                <w:sz w:val="22"/>
                <w:szCs w:val="22"/>
              </w:rPr>
              <w:t>Short Essay</w:t>
            </w:r>
            <w:r w:rsidRPr="001A3D8C">
              <w:rPr>
                <w:b/>
                <w:i/>
                <w:sz w:val="22"/>
                <w:szCs w:val="22"/>
              </w:rPr>
              <w:t xml:space="preserve"> </w:t>
            </w:r>
          </w:p>
        </w:tc>
        <w:tc>
          <w:tcPr>
            <w:tcW w:w="7884" w:type="dxa"/>
          </w:tcPr>
          <w:p w14:paraId="6E9723FB" w14:textId="0C58A9A8" w:rsidR="005B51EF" w:rsidRPr="001A3D8C" w:rsidRDefault="00555CA3" w:rsidP="00555CA3">
            <w:pPr>
              <w:widowControl w:val="0"/>
              <w:spacing w:after="120"/>
              <w:ind w:right="132"/>
              <w:rPr>
                <w:sz w:val="22"/>
                <w:szCs w:val="22"/>
              </w:rPr>
            </w:pPr>
            <w:r w:rsidRPr="001A3D8C">
              <w:rPr>
                <w:sz w:val="22"/>
                <w:szCs w:val="22"/>
              </w:rPr>
              <w:t>The student should</w:t>
            </w:r>
            <w:r w:rsidR="00E50CAC" w:rsidRPr="001A3D8C">
              <w:rPr>
                <w:sz w:val="22"/>
                <w:szCs w:val="22"/>
              </w:rPr>
              <w:t xml:space="preserve"> </w:t>
            </w:r>
            <w:r w:rsidRPr="001A3D8C">
              <w:rPr>
                <w:sz w:val="22"/>
                <w:szCs w:val="22"/>
              </w:rPr>
              <w:t xml:space="preserve">write an essay entitled “Innocent III. Mover, Shaker and Entrencher of the Papacy.” The essay should be between </w:t>
            </w:r>
            <w:r w:rsidRPr="001A3D8C">
              <w:rPr>
                <w:b/>
                <w:bCs/>
                <w:sz w:val="22"/>
                <w:szCs w:val="22"/>
              </w:rPr>
              <w:t>7 and 8 pages in length</w:t>
            </w:r>
            <w:r w:rsidRPr="001A3D8C">
              <w:rPr>
                <w:sz w:val="22"/>
                <w:szCs w:val="22"/>
              </w:rPr>
              <w:t xml:space="preserve"> (double-spaced) and should demonstrate Innocent III’s practical and doctrinal advance of the Papacy. The student should format the essay according to the guidelines for papers in the student handbook.</w:t>
            </w:r>
            <w:r w:rsidR="005B51EF" w:rsidRPr="001A3D8C">
              <w:rPr>
                <w:sz w:val="22"/>
                <w:szCs w:val="22"/>
              </w:rPr>
              <w:t xml:space="preserve"> </w:t>
            </w:r>
            <w:r w:rsidR="001A3D8C" w:rsidRPr="001A3D8C">
              <w:rPr>
                <w:b/>
                <w:bCs/>
                <w:i/>
                <w:iCs/>
                <w:sz w:val="22"/>
                <w:szCs w:val="22"/>
              </w:rPr>
              <w:t xml:space="preserve">This review should be completed and submitted at least </w:t>
            </w:r>
            <w:r w:rsidR="001A3D8C">
              <w:rPr>
                <w:b/>
                <w:bCs/>
                <w:i/>
                <w:iCs/>
                <w:sz w:val="22"/>
                <w:szCs w:val="22"/>
              </w:rPr>
              <w:t>one</w:t>
            </w:r>
            <w:r w:rsidR="001A3D8C" w:rsidRPr="001A3D8C">
              <w:rPr>
                <w:b/>
                <w:bCs/>
                <w:i/>
                <w:iCs/>
                <w:sz w:val="22"/>
                <w:szCs w:val="22"/>
              </w:rPr>
              <w:t xml:space="preserve"> week before the semester concludes</w:t>
            </w:r>
            <w:r w:rsidR="001A3D8C" w:rsidRPr="001A3D8C">
              <w:rPr>
                <w:sz w:val="22"/>
                <w:szCs w:val="22"/>
              </w:rPr>
              <w:t xml:space="preserve">. </w:t>
            </w:r>
          </w:p>
        </w:tc>
      </w:tr>
      <w:tr w:rsidR="005B51EF" w:rsidRPr="001A3D8C" w14:paraId="4C31A12B" w14:textId="77777777" w:rsidTr="00281491">
        <w:trPr>
          <w:trHeight w:val="4779"/>
        </w:trPr>
        <w:tc>
          <w:tcPr>
            <w:tcW w:w="2340" w:type="dxa"/>
          </w:tcPr>
          <w:p w14:paraId="0518C8B1" w14:textId="5CBD98D5" w:rsidR="005B51EF" w:rsidRPr="001A3D8C" w:rsidRDefault="005B51EF" w:rsidP="005B51EF">
            <w:pPr>
              <w:ind w:left="340"/>
              <w:rPr>
                <w:b/>
                <w:i/>
                <w:iCs/>
                <w:sz w:val="22"/>
                <w:szCs w:val="22"/>
              </w:rPr>
            </w:pPr>
            <w:r w:rsidRPr="001A3D8C">
              <w:rPr>
                <w:b/>
                <w:i/>
                <w:iCs/>
                <w:sz w:val="22"/>
                <w:szCs w:val="22"/>
              </w:rPr>
              <w:t>(5) Summary-Synthesis Paper</w:t>
            </w:r>
          </w:p>
        </w:tc>
        <w:tc>
          <w:tcPr>
            <w:tcW w:w="7884" w:type="dxa"/>
          </w:tcPr>
          <w:p w14:paraId="46C8E7D5" w14:textId="7DD4D9CC" w:rsidR="005B51EF" w:rsidRPr="001A3D8C" w:rsidRDefault="005B51EF" w:rsidP="005B51EF">
            <w:pPr>
              <w:widowControl w:val="0"/>
              <w:spacing w:after="120"/>
              <w:ind w:right="132"/>
              <w:rPr>
                <w:sz w:val="22"/>
                <w:szCs w:val="22"/>
              </w:rPr>
            </w:pPr>
            <w:r w:rsidRPr="001A3D8C">
              <w:rPr>
                <w:sz w:val="22"/>
                <w:szCs w:val="22"/>
              </w:rPr>
              <w:t>The student must write a “summary/synthesis” paper on his readings for Part 4 of the course, which focus on the epistemology and theological method of Thomas Aquinas. The paper does not need to cover every detail in the readings, but are meant to reflect the main and central content of the readings, as well as their implications. The papers will be graded, primarily, on the basis of the reader’s ability to adequately synthesize, rather than just to repeat or quote, the material read. Synthesizing material read is a key, initial, component of good thinking and of accurate assessment.</w:t>
            </w:r>
          </w:p>
          <w:p w14:paraId="0CE6C82F" w14:textId="77777777" w:rsidR="00281491" w:rsidRPr="001A3D8C" w:rsidRDefault="005B51EF" w:rsidP="005B51EF">
            <w:pPr>
              <w:spacing w:after="120"/>
              <w:rPr>
                <w:sz w:val="22"/>
                <w:szCs w:val="22"/>
              </w:rPr>
            </w:pPr>
            <w:r w:rsidRPr="001A3D8C">
              <w:rPr>
                <w:sz w:val="22"/>
                <w:szCs w:val="22"/>
              </w:rPr>
              <w:t xml:space="preserve">The paper should be </w:t>
            </w:r>
            <w:r w:rsidRPr="001A3D8C">
              <w:rPr>
                <w:b/>
                <w:bCs/>
                <w:sz w:val="22"/>
                <w:szCs w:val="22"/>
              </w:rPr>
              <w:t>15 to 20 pages</w:t>
            </w:r>
            <w:r w:rsidRPr="001A3D8C">
              <w:rPr>
                <w:sz w:val="22"/>
                <w:szCs w:val="22"/>
              </w:rPr>
              <w:t xml:space="preserve"> double-spaced or 5,000 to 6,500 words. </w:t>
            </w:r>
          </w:p>
          <w:p w14:paraId="22D7CF1F" w14:textId="1FCFD065" w:rsidR="005B51EF" w:rsidRPr="001A3D8C" w:rsidRDefault="00281491" w:rsidP="001A3D8C">
            <w:pPr>
              <w:pStyle w:val="NormalWeb"/>
              <w:widowControl w:val="0"/>
              <w:spacing w:before="2" w:afterLines="150" w:after="360"/>
              <w:ind w:right="130"/>
              <w:rPr>
                <w:rFonts w:asciiTheme="majorBidi" w:hAnsiTheme="majorBidi" w:cstheme="majorBidi"/>
                <w:b/>
                <w:bCs/>
                <w:sz w:val="22"/>
                <w:szCs w:val="22"/>
              </w:rPr>
            </w:pPr>
            <w:r w:rsidRPr="001A3D8C">
              <w:rPr>
                <w:rFonts w:asciiTheme="majorBidi" w:hAnsiTheme="majorBidi" w:cstheme="majorBidi"/>
                <w:sz w:val="22"/>
                <w:szCs w:val="22"/>
              </w:rPr>
              <w:t xml:space="preserve">All papers should follow the </w:t>
            </w:r>
            <w:r w:rsidRPr="001A3D8C">
              <w:rPr>
                <w:rFonts w:asciiTheme="majorBidi" w:hAnsiTheme="majorBidi" w:cstheme="majorBidi"/>
                <w:i/>
                <w:sz w:val="22"/>
                <w:szCs w:val="22"/>
              </w:rPr>
              <w:t>Chicago Manual of Style</w:t>
            </w:r>
            <w:r w:rsidRPr="001A3D8C">
              <w:rPr>
                <w:rFonts w:asciiTheme="majorBidi" w:hAnsiTheme="majorBidi" w:cstheme="majorBidi"/>
                <w:sz w:val="22"/>
                <w:szCs w:val="22"/>
              </w:rPr>
              <w:t>. The format of the paper should conform to the standards set forth in the RBS “Guidelines &amp; Expectations for Students.” See our website for the most current Student Guidelines &amp; Expectations Handbook and follow the most recent edition of the Turabian manual as indicated in the Student G&amp;E</w:t>
            </w:r>
            <w:r w:rsidR="005B51EF" w:rsidRPr="001A3D8C">
              <w:rPr>
                <w:rFonts w:asciiTheme="majorBidi" w:hAnsiTheme="majorBidi" w:cstheme="majorBidi"/>
                <w:sz w:val="22"/>
                <w:szCs w:val="22"/>
              </w:rPr>
              <w:t>. An MS Word Turabian template is provided on the online campus. The instructor shall deduct points from papers that fall short or exceed the parameters of length or that fail to conform to the seminary’s writing and formatting standards specified above.</w:t>
            </w:r>
            <w:r w:rsidR="001A3D8C" w:rsidRPr="001A3D8C">
              <w:rPr>
                <w:rFonts w:asciiTheme="majorBidi" w:hAnsiTheme="majorBidi" w:cstheme="majorBidi"/>
                <w:sz w:val="22"/>
                <w:szCs w:val="22"/>
              </w:rPr>
              <w:t xml:space="preserve"> </w:t>
            </w:r>
            <w:r w:rsidR="001A3D8C" w:rsidRPr="001A3D8C">
              <w:rPr>
                <w:b/>
                <w:bCs/>
                <w:i/>
                <w:iCs/>
                <w:sz w:val="22"/>
                <w:szCs w:val="22"/>
              </w:rPr>
              <w:t>This review should be completed and submitted at least two weeks before the semester concludes</w:t>
            </w:r>
          </w:p>
        </w:tc>
      </w:tr>
      <w:tr w:rsidR="005B51EF" w:rsidRPr="001A3D8C" w14:paraId="6C6AC49B" w14:textId="77777777" w:rsidTr="005B51EF">
        <w:trPr>
          <w:trHeight w:val="648"/>
        </w:trPr>
        <w:tc>
          <w:tcPr>
            <w:tcW w:w="2340" w:type="dxa"/>
          </w:tcPr>
          <w:p w14:paraId="05348F51" w14:textId="77777777" w:rsidR="005B51EF" w:rsidRPr="001A3D8C" w:rsidRDefault="005B51EF" w:rsidP="005B51EF">
            <w:pPr>
              <w:rPr>
                <w:b/>
                <w:sz w:val="22"/>
                <w:szCs w:val="22"/>
              </w:rPr>
            </w:pPr>
            <w:r w:rsidRPr="001A3D8C">
              <w:rPr>
                <w:b/>
                <w:sz w:val="22"/>
                <w:szCs w:val="22"/>
              </w:rPr>
              <w:t>Course grading:</w:t>
            </w:r>
          </w:p>
          <w:p w14:paraId="4C6AD49E" w14:textId="77777777" w:rsidR="005B51EF" w:rsidRPr="001A3D8C" w:rsidRDefault="005B51EF" w:rsidP="005B51EF">
            <w:pPr>
              <w:rPr>
                <w:sz w:val="22"/>
                <w:szCs w:val="22"/>
              </w:rPr>
            </w:pPr>
          </w:p>
        </w:tc>
        <w:tc>
          <w:tcPr>
            <w:tcW w:w="7884" w:type="dxa"/>
          </w:tcPr>
          <w:p w14:paraId="12845E38" w14:textId="77777777" w:rsidR="005B51EF" w:rsidRPr="001A3D8C" w:rsidRDefault="005B51EF" w:rsidP="005B51EF">
            <w:pPr>
              <w:widowControl w:val="0"/>
              <w:spacing w:after="120"/>
              <w:ind w:right="132"/>
              <w:rPr>
                <w:sz w:val="22"/>
                <w:szCs w:val="22"/>
              </w:rPr>
            </w:pPr>
            <w:r w:rsidRPr="001A3D8C">
              <w:rPr>
                <w:sz w:val="22"/>
                <w:szCs w:val="22"/>
              </w:rPr>
              <w:t>Lectures and reading = 10%</w:t>
            </w:r>
          </w:p>
          <w:p w14:paraId="16E3F365" w14:textId="0AB9184E" w:rsidR="005B51EF" w:rsidRPr="001A3D8C" w:rsidRDefault="001A3D8C" w:rsidP="005B51EF">
            <w:pPr>
              <w:widowControl w:val="0"/>
              <w:spacing w:after="120"/>
              <w:ind w:right="132"/>
              <w:rPr>
                <w:sz w:val="22"/>
                <w:szCs w:val="22"/>
              </w:rPr>
            </w:pPr>
            <w:r>
              <w:rPr>
                <w:sz w:val="22"/>
                <w:szCs w:val="22"/>
              </w:rPr>
              <w:t>Review Essay</w:t>
            </w:r>
            <w:r w:rsidR="005B51EF" w:rsidRPr="001A3D8C">
              <w:rPr>
                <w:sz w:val="22"/>
                <w:szCs w:val="22"/>
              </w:rPr>
              <w:t xml:space="preserve"> = </w:t>
            </w:r>
            <w:r w:rsidR="0070535C" w:rsidRPr="001A3D8C">
              <w:rPr>
                <w:sz w:val="22"/>
                <w:szCs w:val="22"/>
              </w:rPr>
              <w:t>3</w:t>
            </w:r>
            <w:r>
              <w:rPr>
                <w:sz w:val="22"/>
                <w:szCs w:val="22"/>
              </w:rPr>
              <w:t>5</w:t>
            </w:r>
            <w:r w:rsidR="005B51EF" w:rsidRPr="001A3D8C">
              <w:rPr>
                <w:sz w:val="22"/>
                <w:szCs w:val="22"/>
              </w:rPr>
              <w:t>%</w:t>
            </w:r>
          </w:p>
          <w:p w14:paraId="72790D28" w14:textId="105D92B9" w:rsidR="005B51EF" w:rsidRPr="001A3D8C" w:rsidRDefault="00555CA3" w:rsidP="005B51EF">
            <w:pPr>
              <w:widowControl w:val="0"/>
              <w:spacing w:after="120"/>
              <w:ind w:right="132"/>
              <w:rPr>
                <w:sz w:val="22"/>
                <w:szCs w:val="22"/>
              </w:rPr>
            </w:pPr>
            <w:r w:rsidRPr="001A3D8C">
              <w:rPr>
                <w:sz w:val="22"/>
                <w:szCs w:val="22"/>
              </w:rPr>
              <w:t xml:space="preserve">Short Essay = </w:t>
            </w:r>
            <w:r w:rsidR="001A3D8C">
              <w:rPr>
                <w:sz w:val="22"/>
                <w:szCs w:val="22"/>
              </w:rPr>
              <w:t>25</w:t>
            </w:r>
            <w:r w:rsidRPr="001A3D8C">
              <w:rPr>
                <w:sz w:val="22"/>
                <w:szCs w:val="22"/>
              </w:rPr>
              <w:t>%</w:t>
            </w:r>
          </w:p>
          <w:p w14:paraId="396B8219" w14:textId="0EF697D6" w:rsidR="005B51EF" w:rsidRPr="001A3D8C" w:rsidRDefault="005B51EF" w:rsidP="005B51EF">
            <w:pPr>
              <w:widowControl w:val="0"/>
              <w:spacing w:after="120"/>
              <w:ind w:right="132"/>
              <w:rPr>
                <w:sz w:val="22"/>
                <w:szCs w:val="22"/>
              </w:rPr>
            </w:pPr>
            <w:r w:rsidRPr="001A3D8C">
              <w:rPr>
                <w:sz w:val="22"/>
                <w:szCs w:val="22"/>
              </w:rPr>
              <w:t>Synthesis Paper = 30%</w:t>
            </w:r>
          </w:p>
        </w:tc>
      </w:tr>
    </w:tbl>
    <w:p w14:paraId="5705721B" w14:textId="23ED01C2" w:rsidR="001152A9" w:rsidRPr="00A751C6" w:rsidRDefault="001152A9">
      <w:pPr>
        <w:rPr>
          <w:rFonts w:ascii="Candara" w:hAnsi="Candara"/>
        </w:rPr>
      </w:pPr>
    </w:p>
    <w:sectPr w:rsidR="001152A9" w:rsidRPr="00A751C6" w:rsidSect="001A3D8C">
      <w:headerReference w:type="default" r:id="rId10"/>
      <w:pgSz w:w="12240" w:h="15840"/>
      <w:pgMar w:top="259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9E13" w14:textId="77777777" w:rsidR="00C83D15" w:rsidRDefault="00C83D15" w:rsidP="00F365BC">
      <w:r>
        <w:separator/>
      </w:r>
    </w:p>
  </w:endnote>
  <w:endnote w:type="continuationSeparator" w:id="0">
    <w:p w14:paraId="3B8DED2D" w14:textId="77777777" w:rsidR="00C83D15" w:rsidRDefault="00C83D15" w:rsidP="00F3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53A4" w14:textId="77777777" w:rsidR="00C83D15" w:rsidRDefault="00C83D15" w:rsidP="00F365BC">
      <w:r>
        <w:separator/>
      </w:r>
    </w:p>
  </w:footnote>
  <w:footnote w:type="continuationSeparator" w:id="0">
    <w:p w14:paraId="79B62D6E" w14:textId="77777777" w:rsidR="00C83D15" w:rsidRDefault="00C83D15" w:rsidP="00F3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F773" w14:textId="200F2658" w:rsidR="00F365BC" w:rsidRDefault="001E43C9">
    <w:pPr>
      <w:pStyle w:val="Header"/>
      <w:pBdr>
        <w:bottom w:val="single" w:sz="12" w:space="1" w:color="auto"/>
      </w:pBdr>
    </w:pPr>
    <w:r>
      <w:rPr>
        <w:noProof/>
      </w:rPr>
      <w:drawing>
        <wp:inline distT="0" distB="0" distL="0" distR="0" wp14:anchorId="003EC41B" wp14:editId="1DA01DAF">
          <wp:extent cx="2459963" cy="12107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Letterhead-02.png"/>
                  <pic:cNvPicPr/>
                </pic:nvPicPr>
                <pic:blipFill>
                  <a:blip r:embed="rId1"/>
                  <a:stretch>
                    <a:fillRect/>
                  </a:stretch>
                </pic:blipFill>
                <pic:spPr>
                  <a:xfrm>
                    <a:off x="0" y="0"/>
                    <a:ext cx="2464004" cy="1212722"/>
                  </a:xfrm>
                  <a:prstGeom prst="rect">
                    <a:avLst/>
                  </a:prstGeom>
                </pic:spPr>
              </pic:pic>
            </a:graphicData>
          </a:graphic>
        </wp:inline>
      </w:drawing>
    </w:r>
  </w:p>
  <w:p w14:paraId="18071290" w14:textId="77777777" w:rsidR="00F365BC" w:rsidRDefault="00F36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1312"/>
    <w:multiLevelType w:val="hybridMultilevel"/>
    <w:tmpl w:val="A970C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146E0"/>
    <w:multiLevelType w:val="hybridMultilevel"/>
    <w:tmpl w:val="A57AE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09076E"/>
    <w:multiLevelType w:val="hybridMultilevel"/>
    <w:tmpl w:val="E6A03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A4698"/>
    <w:multiLevelType w:val="hybridMultilevel"/>
    <w:tmpl w:val="E6A03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922F3"/>
    <w:multiLevelType w:val="hybridMultilevel"/>
    <w:tmpl w:val="E6A03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607091"/>
    <w:multiLevelType w:val="hybridMultilevel"/>
    <w:tmpl w:val="96A81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13986"/>
    <w:multiLevelType w:val="hybridMultilevel"/>
    <w:tmpl w:val="E6A03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31"/>
    <w:rsid w:val="00045D83"/>
    <w:rsid w:val="00046B22"/>
    <w:rsid w:val="000C1B40"/>
    <w:rsid w:val="000C256A"/>
    <w:rsid w:val="00114EF0"/>
    <w:rsid w:val="001152A9"/>
    <w:rsid w:val="001724FE"/>
    <w:rsid w:val="001A3D8C"/>
    <w:rsid w:val="001B3CFF"/>
    <w:rsid w:val="001E43C9"/>
    <w:rsid w:val="00210BB1"/>
    <w:rsid w:val="00261C78"/>
    <w:rsid w:val="00281491"/>
    <w:rsid w:val="002E026C"/>
    <w:rsid w:val="002E2182"/>
    <w:rsid w:val="00340DE9"/>
    <w:rsid w:val="00364551"/>
    <w:rsid w:val="003A4E80"/>
    <w:rsid w:val="003C4143"/>
    <w:rsid w:val="003C5B64"/>
    <w:rsid w:val="003F405C"/>
    <w:rsid w:val="00442DE8"/>
    <w:rsid w:val="00450B7F"/>
    <w:rsid w:val="00487FEC"/>
    <w:rsid w:val="00496825"/>
    <w:rsid w:val="004A2DDA"/>
    <w:rsid w:val="004D04F7"/>
    <w:rsid w:val="00515313"/>
    <w:rsid w:val="00555CA3"/>
    <w:rsid w:val="005B4B91"/>
    <w:rsid w:val="005B51EF"/>
    <w:rsid w:val="005D13B5"/>
    <w:rsid w:val="005D618C"/>
    <w:rsid w:val="005E492C"/>
    <w:rsid w:val="00644B3D"/>
    <w:rsid w:val="006606BC"/>
    <w:rsid w:val="006A47F6"/>
    <w:rsid w:val="006F3EC2"/>
    <w:rsid w:val="0070535C"/>
    <w:rsid w:val="00733682"/>
    <w:rsid w:val="00772FA8"/>
    <w:rsid w:val="007759D8"/>
    <w:rsid w:val="007911EB"/>
    <w:rsid w:val="007B04E2"/>
    <w:rsid w:val="007D7577"/>
    <w:rsid w:val="00821FEA"/>
    <w:rsid w:val="0087199F"/>
    <w:rsid w:val="00892F22"/>
    <w:rsid w:val="008B0FF9"/>
    <w:rsid w:val="009A41C2"/>
    <w:rsid w:val="009C0D8F"/>
    <w:rsid w:val="009D39CE"/>
    <w:rsid w:val="009E3E04"/>
    <w:rsid w:val="00A336E4"/>
    <w:rsid w:val="00AC447B"/>
    <w:rsid w:val="00B375D4"/>
    <w:rsid w:val="00B7655B"/>
    <w:rsid w:val="00B76E9D"/>
    <w:rsid w:val="00BE183F"/>
    <w:rsid w:val="00C6771C"/>
    <w:rsid w:val="00C70B54"/>
    <w:rsid w:val="00C83D15"/>
    <w:rsid w:val="00CE7C81"/>
    <w:rsid w:val="00D61AF0"/>
    <w:rsid w:val="00D65097"/>
    <w:rsid w:val="00D65CBA"/>
    <w:rsid w:val="00D74D5F"/>
    <w:rsid w:val="00DC11B6"/>
    <w:rsid w:val="00E2775A"/>
    <w:rsid w:val="00E50CAC"/>
    <w:rsid w:val="00F23F0A"/>
    <w:rsid w:val="00F365BC"/>
    <w:rsid w:val="00F41A31"/>
    <w:rsid w:val="00FC65A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EE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1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A31"/>
    <w:rPr>
      <w:color w:val="0000FF"/>
      <w:u w:val="single"/>
    </w:rPr>
  </w:style>
  <w:style w:type="character" w:styleId="FollowedHyperlink">
    <w:name w:val="FollowedHyperlink"/>
    <w:basedOn w:val="DefaultParagraphFont"/>
    <w:rsid w:val="00A751C6"/>
    <w:rPr>
      <w:color w:val="800080"/>
      <w:u w:val="single"/>
    </w:rPr>
  </w:style>
  <w:style w:type="paragraph" w:styleId="BalloonText">
    <w:name w:val="Balloon Text"/>
    <w:basedOn w:val="Normal"/>
    <w:link w:val="BalloonTextChar"/>
    <w:rsid w:val="009E3E04"/>
    <w:rPr>
      <w:rFonts w:ascii="Lucida Grande" w:hAnsi="Lucida Grande" w:cs="Lucida Grande"/>
      <w:sz w:val="18"/>
      <w:szCs w:val="18"/>
    </w:rPr>
  </w:style>
  <w:style w:type="character" w:customStyle="1" w:styleId="BalloonTextChar">
    <w:name w:val="Balloon Text Char"/>
    <w:basedOn w:val="DefaultParagraphFont"/>
    <w:link w:val="BalloonText"/>
    <w:rsid w:val="009E3E04"/>
    <w:rPr>
      <w:rFonts w:ascii="Lucida Grande" w:hAnsi="Lucida Grande" w:cs="Lucida Grande"/>
      <w:sz w:val="18"/>
      <w:szCs w:val="18"/>
    </w:rPr>
  </w:style>
  <w:style w:type="paragraph" w:styleId="Header">
    <w:name w:val="header"/>
    <w:basedOn w:val="Normal"/>
    <w:link w:val="HeaderChar"/>
    <w:unhideWhenUsed/>
    <w:rsid w:val="00F365BC"/>
    <w:pPr>
      <w:tabs>
        <w:tab w:val="center" w:pos="4680"/>
        <w:tab w:val="right" w:pos="9360"/>
      </w:tabs>
    </w:pPr>
  </w:style>
  <w:style w:type="character" w:customStyle="1" w:styleId="HeaderChar">
    <w:name w:val="Header Char"/>
    <w:basedOn w:val="DefaultParagraphFont"/>
    <w:link w:val="Header"/>
    <w:rsid w:val="00F365BC"/>
    <w:rPr>
      <w:sz w:val="24"/>
      <w:szCs w:val="24"/>
    </w:rPr>
  </w:style>
  <w:style w:type="paragraph" w:styleId="Footer">
    <w:name w:val="footer"/>
    <w:basedOn w:val="Normal"/>
    <w:link w:val="FooterChar"/>
    <w:unhideWhenUsed/>
    <w:rsid w:val="00F365BC"/>
    <w:pPr>
      <w:tabs>
        <w:tab w:val="center" w:pos="4680"/>
        <w:tab w:val="right" w:pos="9360"/>
      </w:tabs>
    </w:pPr>
  </w:style>
  <w:style w:type="character" w:customStyle="1" w:styleId="FooterChar">
    <w:name w:val="Footer Char"/>
    <w:basedOn w:val="DefaultParagraphFont"/>
    <w:link w:val="Footer"/>
    <w:rsid w:val="00F365BC"/>
    <w:rPr>
      <w:sz w:val="24"/>
      <w:szCs w:val="24"/>
    </w:rPr>
  </w:style>
  <w:style w:type="paragraph" w:styleId="ListParagraph">
    <w:name w:val="List Paragraph"/>
    <w:basedOn w:val="Normal"/>
    <w:uiPriority w:val="34"/>
    <w:qFormat/>
    <w:rsid w:val="005D618C"/>
    <w:pPr>
      <w:ind w:left="720"/>
      <w:contextualSpacing/>
    </w:pPr>
  </w:style>
  <w:style w:type="character" w:customStyle="1" w:styleId="apple-converted-space">
    <w:name w:val="apple-converted-space"/>
    <w:basedOn w:val="DefaultParagraphFont"/>
    <w:rsid w:val="00555CA3"/>
  </w:style>
  <w:style w:type="paragraph" w:styleId="NormalWeb">
    <w:name w:val="Normal (Web)"/>
    <w:basedOn w:val="Normal"/>
    <w:uiPriority w:val="99"/>
    <w:rsid w:val="00281491"/>
    <w:pPr>
      <w:spacing w:beforeLines="1" w:afterLines="1"/>
    </w:pPr>
    <w:rPr>
      <w:rFonts w:ascii="Times" w:hAnsi="Times"/>
      <w:sz w:val="20"/>
      <w:szCs w:val="20"/>
    </w:rPr>
  </w:style>
  <w:style w:type="character" w:styleId="Emphasis">
    <w:name w:val="Emphasis"/>
    <w:basedOn w:val="DefaultParagraphFont"/>
    <w:uiPriority w:val="20"/>
    <w:qFormat/>
    <w:rsid w:val="001A3D8C"/>
    <w:rPr>
      <w:rFonts w:ascii="Times New Roman" w:hAnsi="Times New Roman" w:cs="Times New Roman"/>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09626">
      <w:bodyDiv w:val="1"/>
      <w:marLeft w:val="0"/>
      <w:marRight w:val="0"/>
      <w:marTop w:val="0"/>
      <w:marBottom w:val="0"/>
      <w:divBdr>
        <w:top w:val="none" w:sz="0" w:space="0" w:color="auto"/>
        <w:left w:val="none" w:sz="0" w:space="0" w:color="auto"/>
        <w:bottom w:val="none" w:sz="0" w:space="0" w:color="auto"/>
        <w:right w:val="none" w:sz="0" w:space="0" w:color="auto"/>
      </w:divBdr>
    </w:div>
    <w:div w:id="1242180632">
      <w:bodyDiv w:val="1"/>
      <w:marLeft w:val="0"/>
      <w:marRight w:val="0"/>
      <w:marTop w:val="0"/>
      <w:marBottom w:val="0"/>
      <w:divBdr>
        <w:top w:val="none" w:sz="0" w:space="0" w:color="auto"/>
        <w:left w:val="none" w:sz="0" w:space="0" w:color="auto"/>
        <w:bottom w:val="none" w:sz="0" w:space="0" w:color="auto"/>
        <w:right w:val="none" w:sz="0" w:space="0" w:color="auto"/>
      </w:divBdr>
    </w:div>
    <w:div w:id="164392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fordham.edu/klima/Blackwell-proofs/MP_C30.pdf" TargetMode="External"/><Relationship Id="rId3" Type="http://schemas.openxmlformats.org/officeDocument/2006/relationships/settings" Target="settings.xml"/><Relationship Id="rId7" Type="http://schemas.openxmlformats.org/officeDocument/2006/relationships/hyperlink" Target="http://www.ccel.org/ccel/aquinas/summ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ospelcoalition.org/article/aquinas-a-shaky-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Reformed Baptist Seminary</Company>
  <LinksUpToDate>false</LinksUpToDate>
  <CharactersWithSpaces>7713</CharactersWithSpaces>
  <SharedDoc>false</SharedDoc>
  <HLinks>
    <vt:vector size="30" baseType="variant">
      <vt:variant>
        <vt:i4>7733340</vt:i4>
      </vt:variant>
      <vt:variant>
        <vt:i4>9</vt:i4>
      </vt:variant>
      <vt:variant>
        <vt:i4>0</vt:i4>
      </vt:variant>
      <vt:variant>
        <vt:i4>5</vt:i4>
      </vt:variant>
      <vt:variant>
        <vt:lpwstr>mailto:Waldronsc@yahoo.com</vt:lpwstr>
      </vt:variant>
      <vt:variant>
        <vt:lpwstr/>
      </vt:variant>
      <vt:variant>
        <vt:i4>1114204</vt:i4>
      </vt:variant>
      <vt:variant>
        <vt:i4>6</vt:i4>
      </vt:variant>
      <vt:variant>
        <vt:i4>0</vt:i4>
      </vt:variant>
      <vt:variant>
        <vt:i4>5</vt:i4>
      </vt:variant>
      <vt:variant>
        <vt:lpwstr>http://www.ccel.org/ccel/anselm/basic_works.vi.html</vt:lpwstr>
      </vt:variant>
      <vt:variant>
        <vt:lpwstr/>
      </vt:variant>
      <vt:variant>
        <vt:i4>7733328</vt:i4>
      </vt:variant>
      <vt:variant>
        <vt:i4>3</vt:i4>
      </vt:variant>
      <vt:variant>
        <vt:i4>0</vt:i4>
      </vt:variant>
      <vt:variant>
        <vt:i4>5</vt:i4>
      </vt:variant>
      <vt:variant>
        <vt:lpwstr>http://www.ccel.org/ccel/schaff/npnf105.xxi.iii.ii.html</vt:lpwstr>
      </vt:variant>
      <vt:variant>
        <vt:lpwstr/>
      </vt:variant>
      <vt:variant>
        <vt:i4>3997761</vt:i4>
      </vt:variant>
      <vt:variant>
        <vt:i4>0</vt:i4>
      </vt:variant>
      <vt:variant>
        <vt:i4>0</vt:i4>
      </vt:variant>
      <vt:variant>
        <vt:i4>5</vt:i4>
      </vt:variant>
      <vt:variant>
        <vt:lpwstr>http://www.ccel.org/ccel/augustine/confessions.toc.html</vt:lpwstr>
      </vt:variant>
      <vt:variant>
        <vt:lpwstr/>
      </vt:variant>
      <vt:variant>
        <vt:i4>5767226</vt:i4>
      </vt:variant>
      <vt:variant>
        <vt:i4>2049</vt:i4>
      </vt:variant>
      <vt:variant>
        <vt:i4>1025</vt:i4>
      </vt:variant>
      <vt:variant>
        <vt:i4>1</vt:i4>
      </vt:variant>
      <vt:variant>
        <vt:lpwstr>RBSbanner1-bk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Gonzales</dc:creator>
  <cp:keywords/>
  <dc:description/>
  <cp:lastModifiedBy>Robert  Gonzales</cp:lastModifiedBy>
  <cp:revision>11</cp:revision>
  <cp:lastPrinted>2011-04-19T16:12:00Z</cp:lastPrinted>
  <dcterms:created xsi:type="dcterms:W3CDTF">2018-11-19T21:52:00Z</dcterms:created>
  <dcterms:modified xsi:type="dcterms:W3CDTF">2018-12-27T23:12:00Z</dcterms:modified>
</cp:coreProperties>
</file>